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1C7D" w14:textId="52543940" w:rsidR="00751B1B" w:rsidRPr="00A87AB5" w:rsidRDefault="00526813" w:rsidP="00EB1248">
      <w:pPr>
        <w:spacing w:before="100" w:beforeAutospacing="1" w:after="100" w:afterAutospacing="1" w:line="240" w:lineRule="auto"/>
        <w:ind w:left="-851"/>
        <w:contextualSpacing/>
        <w:jc w:val="both"/>
        <w:rPr>
          <w:rFonts w:cstheme="minorHAnsi"/>
          <w:b/>
          <w:bCs/>
          <w:sz w:val="20"/>
          <w:szCs w:val="20"/>
          <w:lang w:val="ro-RO"/>
        </w:rPr>
      </w:pPr>
      <w:bookmarkStart w:id="0" w:name="_Hlk108444862"/>
      <w:r w:rsidRPr="00A87AB5">
        <w:rPr>
          <w:rFonts w:cstheme="minorHAnsi"/>
          <w:b/>
          <w:bCs/>
          <w:sz w:val="20"/>
          <w:szCs w:val="20"/>
          <w:lang w:val="ro-RO"/>
        </w:rPr>
        <w:t xml:space="preserve">Anexa 10 - </w:t>
      </w:r>
      <w:r w:rsidR="00811C44" w:rsidRPr="00A87AB5">
        <w:rPr>
          <w:rFonts w:cstheme="minorHAnsi"/>
          <w:b/>
          <w:bCs/>
          <w:sz w:val="20"/>
          <w:szCs w:val="20"/>
          <w:lang w:val="ro-RO"/>
        </w:rPr>
        <w:t xml:space="preserve">GRILA DE VERIFICARE </w:t>
      </w:r>
      <w:r w:rsidR="00C7671D" w:rsidRPr="00A87AB5">
        <w:rPr>
          <w:rFonts w:cstheme="minorHAnsi"/>
          <w:b/>
          <w:bCs/>
          <w:sz w:val="20"/>
          <w:szCs w:val="20"/>
          <w:lang w:val="ro-RO"/>
        </w:rPr>
        <w:t>A ELIGIBILITATII</w:t>
      </w:r>
      <w:r w:rsidR="00D55F14" w:rsidRPr="00A87AB5">
        <w:rPr>
          <w:rFonts w:cstheme="minorHAnsi"/>
          <w:b/>
          <w:bCs/>
          <w:sz w:val="20"/>
          <w:szCs w:val="20"/>
          <w:lang w:val="ro-RO"/>
        </w:rPr>
        <w:t xml:space="preserve"> IN ETAPA DE PRESELECTIE</w:t>
      </w:r>
    </w:p>
    <w:p w14:paraId="74F2E6C9" w14:textId="3BDB21B6" w:rsidR="00751B1B" w:rsidRPr="00A87AB5" w:rsidRDefault="00751B1B" w:rsidP="00EB1248">
      <w:pPr>
        <w:pStyle w:val="Heading8"/>
        <w:spacing w:before="100" w:beforeAutospacing="1" w:after="100" w:afterAutospacing="1"/>
        <w:ind w:left="-851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04216107"/>
      <w:r w:rsidRPr="00A87AB5">
        <w:rPr>
          <w:rFonts w:asciiTheme="minorHAnsi" w:hAnsiTheme="minorHAnsi" w:cstheme="minorHAnsi"/>
          <w:caps w:val="0"/>
          <w:sz w:val="20"/>
          <w:szCs w:val="20"/>
        </w:rPr>
        <w:t xml:space="preserve">Prioritatea </w:t>
      </w:r>
      <w:r w:rsidR="00FA2881" w:rsidRPr="00A87AB5">
        <w:rPr>
          <w:rFonts w:asciiTheme="minorHAnsi" w:hAnsiTheme="minorHAnsi" w:cstheme="minorHAnsi"/>
          <w:caps w:val="0"/>
          <w:sz w:val="20"/>
          <w:szCs w:val="20"/>
        </w:rPr>
        <w:t>2:</w:t>
      </w:r>
      <w:r w:rsidRPr="00A87AB5">
        <w:rPr>
          <w:rFonts w:asciiTheme="minorHAnsi" w:hAnsiTheme="minorHAnsi" w:cstheme="minorHAnsi"/>
          <w:caps w:val="0"/>
          <w:sz w:val="20"/>
          <w:szCs w:val="20"/>
        </w:rPr>
        <w:t xml:space="preserve"> Nord-Est – </w:t>
      </w:r>
      <w:r w:rsidR="00FA2881" w:rsidRPr="00A87AB5">
        <w:rPr>
          <w:rFonts w:asciiTheme="minorHAnsi" w:hAnsiTheme="minorHAnsi" w:cstheme="minorHAnsi"/>
          <w:caps w:val="0"/>
          <w:sz w:val="20"/>
          <w:szCs w:val="20"/>
        </w:rPr>
        <w:t>O regiune mai digitalizata</w:t>
      </w:r>
    </w:p>
    <w:p w14:paraId="0275BCEA" w14:textId="1EC9387D" w:rsidR="007A161F" w:rsidRPr="00A87AB5" w:rsidRDefault="00751B1B" w:rsidP="00EB1248">
      <w:pPr>
        <w:spacing w:before="100" w:beforeAutospacing="1" w:after="100" w:afterAutospacing="1" w:line="240" w:lineRule="auto"/>
        <w:ind w:left="-851"/>
        <w:contextualSpacing/>
        <w:jc w:val="both"/>
        <w:rPr>
          <w:rFonts w:cstheme="minorHAnsi"/>
          <w:b/>
          <w:bCs/>
          <w:sz w:val="20"/>
          <w:szCs w:val="20"/>
          <w:lang w:val="ro-RO"/>
        </w:rPr>
      </w:pPr>
      <w:r w:rsidRPr="00A87AB5">
        <w:rPr>
          <w:rFonts w:cstheme="minorHAnsi"/>
          <w:b/>
          <w:bCs/>
          <w:sz w:val="20"/>
          <w:szCs w:val="20"/>
          <w:lang w:val="ro-RO"/>
        </w:rPr>
        <w:t xml:space="preserve">Obiectiv specific: 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Valorificarea avantajelor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digitalizării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,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î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n beneficiul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cetățenilor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, al companiilor, al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organizațiilor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de cercetare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ș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i al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autorităților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publice </w:t>
      </w:r>
      <w:r w:rsidRPr="00A87AB5">
        <w:rPr>
          <w:rFonts w:cstheme="minorHAnsi"/>
          <w:b/>
          <w:bCs/>
          <w:sz w:val="20"/>
          <w:szCs w:val="20"/>
          <w:lang w:val="ro-RO"/>
        </w:rPr>
        <w:t xml:space="preserve">Operațiune: 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>Transformarea digitala a IMM-urilor orientat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ă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către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creșterea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</w:t>
      </w:r>
      <w:r w:rsidR="00A87AB5" w:rsidRPr="00A87AB5">
        <w:rPr>
          <w:rFonts w:cstheme="minorHAnsi"/>
          <w:b/>
          <w:bCs/>
          <w:sz w:val="20"/>
          <w:szCs w:val="20"/>
          <w:lang w:val="ro-RO"/>
        </w:rPr>
        <w:t>intensității</w:t>
      </w:r>
      <w:r w:rsidR="00FA2881" w:rsidRPr="00A87AB5">
        <w:rPr>
          <w:rFonts w:cstheme="minorHAnsi"/>
          <w:b/>
          <w:bCs/>
          <w:sz w:val="20"/>
          <w:szCs w:val="20"/>
          <w:lang w:val="ro-RO"/>
        </w:rPr>
        <w:t xml:space="preserve"> digitale</w:t>
      </w:r>
      <w:bookmarkEnd w:id="0"/>
      <w:bookmarkEnd w:id="1"/>
    </w:p>
    <w:p w14:paraId="5219F37E" w14:textId="77690C24" w:rsidR="00025685" w:rsidRPr="00A87AB5" w:rsidRDefault="00025685" w:rsidP="00EB1248">
      <w:pPr>
        <w:ind w:left="-567" w:firstLine="567"/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2"/>
        <w:gridCol w:w="8112"/>
        <w:gridCol w:w="567"/>
        <w:gridCol w:w="569"/>
        <w:gridCol w:w="709"/>
      </w:tblGrid>
      <w:tr w:rsidR="00D55F14" w:rsidRPr="00A87AB5" w14:paraId="50061260" w14:textId="17B56FC2" w:rsidTr="00746FAF">
        <w:tc>
          <w:tcPr>
            <w:tcW w:w="8504" w:type="dxa"/>
            <w:gridSpan w:val="2"/>
          </w:tcPr>
          <w:p w14:paraId="399E3530" w14:textId="4FCDCC59" w:rsidR="00D55F14" w:rsidRPr="00A87AB5" w:rsidRDefault="00373BB1" w:rsidP="00E2768E">
            <w:pPr>
              <w:tabs>
                <w:tab w:val="center" w:pos="6353"/>
                <w:tab w:val="left" w:pos="7546"/>
              </w:tabs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Criterii de </w:t>
            </w:r>
            <w:r w:rsidR="00D55F14" w:rsidRPr="00A87AB5">
              <w:rPr>
                <w:rFonts w:cstheme="minorHAnsi"/>
                <w:b/>
                <w:bCs/>
                <w:sz w:val="20"/>
                <w:szCs w:val="20"/>
                <w:lang w:val="ro-RO"/>
              </w:rPr>
              <w:t>Eligibilitate</w:t>
            </w:r>
          </w:p>
        </w:tc>
        <w:tc>
          <w:tcPr>
            <w:tcW w:w="567" w:type="dxa"/>
          </w:tcPr>
          <w:p w14:paraId="056B3893" w14:textId="6EAF5932" w:rsidR="00D55F14" w:rsidRPr="00A87AB5" w:rsidRDefault="00D55F14" w:rsidP="00AC61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DA</w:t>
            </w:r>
          </w:p>
        </w:tc>
        <w:tc>
          <w:tcPr>
            <w:tcW w:w="569" w:type="dxa"/>
          </w:tcPr>
          <w:p w14:paraId="54F11F98" w14:textId="3EEA972C" w:rsidR="00D55F14" w:rsidRPr="00A87AB5" w:rsidRDefault="00D55F14" w:rsidP="00AC61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b/>
                <w:bCs/>
                <w:sz w:val="20"/>
                <w:szCs w:val="20"/>
                <w:lang w:val="ro-RO"/>
              </w:rPr>
              <w:t>NU</w:t>
            </w:r>
          </w:p>
        </w:tc>
        <w:tc>
          <w:tcPr>
            <w:tcW w:w="709" w:type="dxa"/>
          </w:tcPr>
          <w:p w14:paraId="685E4C68" w14:textId="5C6F2907" w:rsidR="00D55F14" w:rsidRPr="00A87AB5" w:rsidRDefault="00D55F14" w:rsidP="00AC61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b/>
                <w:bCs/>
                <w:sz w:val="20"/>
                <w:szCs w:val="20"/>
                <w:lang w:val="ro-RO"/>
              </w:rPr>
              <w:t>N/A</w:t>
            </w:r>
          </w:p>
        </w:tc>
      </w:tr>
      <w:tr w:rsidR="00963E59" w:rsidRPr="00A87AB5" w14:paraId="77F15183" w14:textId="0FBDC666" w:rsidTr="00963E59">
        <w:trPr>
          <w:trHeight w:val="699"/>
        </w:trPr>
        <w:tc>
          <w:tcPr>
            <w:tcW w:w="392" w:type="dxa"/>
            <w:vMerge w:val="restart"/>
          </w:tcPr>
          <w:p w14:paraId="41805381" w14:textId="139405C8" w:rsidR="00963E59" w:rsidRPr="00A87AB5" w:rsidRDefault="00963E59" w:rsidP="00C42F4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  <w:shd w:val="clear" w:color="auto" w:fill="auto"/>
          </w:tcPr>
          <w:p w14:paraId="7597F283" w14:textId="5FB780A9" w:rsidR="00963E59" w:rsidRPr="00A87AB5" w:rsidRDefault="00963E59" w:rsidP="0046783D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Solicitantul este societate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înființata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n baza Legii nr. 31/1990 privind societățile comerciale, </w:t>
            </w:r>
            <w:r w:rsidR="004B4A4E" w:rsidRPr="00A87AB5">
              <w:rPr>
                <w:rFonts w:cstheme="minorHAnsi"/>
                <w:sz w:val="20"/>
                <w:szCs w:val="20"/>
                <w:lang w:val="ro-RO" w:bidi="ro-RO"/>
              </w:rPr>
              <w:t>înainte</w:t>
            </w: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 xml:space="preserve"> de data de 03.01.2022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si se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încadrează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n categoria IMM-urilor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în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 cazul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n care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face parte din categoria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microîntreprinderilor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 aceasta va fi specificat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57D4F" w:rsidRPr="00A87AB5">
              <w:rPr>
                <w:rFonts w:cstheme="minorHAnsi"/>
                <w:sz w:val="20"/>
                <w:szCs w:val="20"/>
                <w:lang w:val="ro-RO"/>
              </w:rPr>
              <w:t>n mod explicit)</w:t>
            </w:r>
          </w:p>
          <w:p w14:paraId="7310419E" w14:textId="2EA0909D" w:rsidR="00963E59" w:rsidRPr="00A87AB5" w:rsidRDefault="00963E59" w:rsidP="0046783D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51B24EB9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1609D169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76D58258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963E59" w:rsidRPr="00A87AB5" w14:paraId="269FA93F" w14:textId="77777777" w:rsidTr="00746FAF">
        <w:trPr>
          <w:trHeight w:val="383"/>
        </w:trPr>
        <w:tc>
          <w:tcPr>
            <w:tcW w:w="392" w:type="dxa"/>
            <w:vMerge/>
          </w:tcPr>
          <w:p w14:paraId="04566C1F" w14:textId="77777777" w:rsidR="00963E59" w:rsidRPr="00A87AB5" w:rsidRDefault="00963E59" w:rsidP="00C42F4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  <w:shd w:val="clear" w:color="auto" w:fill="auto"/>
          </w:tcPr>
          <w:p w14:paraId="5CE1E317" w14:textId="742DDF9B" w:rsidR="00963E59" w:rsidRPr="00A87AB5" w:rsidRDefault="00A87AB5" w:rsidP="00963E5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 legate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înființarea</w:t>
            </w:r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societății</w:t>
            </w:r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 se verifica pe </w:t>
            </w:r>
            <w:proofErr w:type="spellStart"/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8" w:history="1">
              <w:r w:rsidR="00963E59"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</w:p>
          <w:p w14:paraId="7C7BFC79" w14:textId="5EBBB5DF" w:rsidR="00963E59" w:rsidRPr="00A87AB5" w:rsidRDefault="00A87AB5" w:rsidP="00963E5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Încadrarea</w:t>
            </w:r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963E59" w:rsidRPr="00A87AB5">
              <w:rPr>
                <w:rFonts w:cstheme="minorHAnsi"/>
                <w:sz w:val="20"/>
                <w:szCs w:val="20"/>
                <w:lang w:val="ro-RO"/>
              </w:rPr>
              <w:t xml:space="preserve">n categoria IMM 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>se verific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 pe baza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informațiilor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încărcate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 (aceste date vor fi stabilite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funcție</w:t>
            </w:r>
            <w:r w:rsidR="008C00DE" w:rsidRPr="00A87AB5">
              <w:rPr>
                <w:rFonts w:cstheme="minorHAnsi"/>
                <w:sz w:val="20"/>
                <w:szCs w:val="20"/>
                <w:lang w:val="ro-RO"/>
              </w:rPr>
              <w:t xml:space="preserve"> de complexitatea platformei)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.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 va permite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evidențierea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încadrării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n categoria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microîntreprinderilor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>, dac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7F2C07" w:rsidRPr="00A87AB5">
              <w:rPr>
                <w:rFonts w:cstheme="minorHAnsi"/>
                <w:sz w:val="20"/>
                <w:szCs w:val="20"/>
                <w:lang w:val="ro-RO"/>
              </w:rPr>
              <w:t xml:space="preserve"> este cazul.</w:t>
            </w:r>
          </w:p>
          <w:p w14:paraId="027E8754" w14:textId="528FE0A4" w:rsidR="00963E59" w:rsidRPr="00A87AB5" w:rsidRDefault="00963E59" w:rsidP="00963E5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/>
          </w:tcPr>
          <w:p w14:paraId="4B1A5F7B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4DCDD3D7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6C44CDFF" w14:textId="77777777" w:rsidR="00963E59" w:rsidRPr="00A87AB5" w:rsidRDefault="00963E59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74FED" w:rsidRPr="00A87AB5" w14:paraId="11B03337" w14:textId="4F719797" w:rsidTr="00A74FED">
        <w:trPr>
          <w:trHeight w:val="441"/>
        </w:trPr>
        <w:tc>
          <w:tcPr>
            <w:tcW w:w="392" w:type="dxa"/>
            <w:vMerge w:val="restart"/>
          </w:tcPr>
          <w:p w14:paraId="7FD10F8A" w14:textId="30AE8AD8" w:rsidR="00A74FED" w:rsidRPr="00A87AB5" w:rsidRDefault="00A74FED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49E860BD" w14:textId="4F740548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Solicitantul are sediul social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n regiunea Nord-Est</w:t>
            </w:r>
          </w:p>
          <w:p w14:paraId="124E1234" w14:textId="2F1C797B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581D0C1D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2A11A4A2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43E0C552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74FED" w:rsidRPr="00A87AB5" w14:paraId="399BD6DD" w14:textId="77777777" w:rsidTr="00746FAF">
        <w:trPr>
          <w:trHeight w:val="366"/>
        </w:trPr>
        <w:tc>
          <w:tcPr>
            <w:tcW w:w="392" w:type="dxa"/>
            <w:vMerge/>
          </w:tcPr>
          <w:p w14:paraId="37B6DB48" w14:textId="77777777" w:rsidR="00A74FED" w:rsidRPr="00A87AB5" w:rsidRDefault="00A74FED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7AE968A2" w14:textId="6D1C408E" w:rsidR="00A74FED" w:rsidRPr="00A87AB5" w:rsidRDefault="00A87AB5" w:rsidP="00A74FE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furnizate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beneficiar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legătura</w:t>
            </w:r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cu sediul social se verific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9" w:history="1">
              <w:r w:rsidR="00A74FED"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  <w:r w:rsidR="00A74FED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7D072A13" w14:textId="675FFFD7" w:rsidR="00A74FED" w:rsidRPr="00A87AB5" w:rsidRDefault="00A74FED" w:rsidP="00A74FE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/>
          </w:tcPr>
          <w:p w14:paraId="16E621B4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15A7A12D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5ADF0A52" w14:textId="77777777" w:rsidR="00A74FED" w:rsidRPr="00A87AB5" w:rsidRDefault="00A74FED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76977CA3" w14:textId="23B13E3B" w:rsidTr="00CF207C">
        <w:trPr>
          <w:trHeight w:val="1199"/>
        </w:trPr>
        <w:tc>
          <w:tcPr>
            <w:tcW w:w="392" w:type="dxa"/>
            <w:vMerge w:val="restart"/>
          </w:tcPr>
          <w:p w14:paraId="2FA97FA7" w14:textId="33115B5C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56721206" w14:textId="43B9C114" w:rsidR="00CF207C" w:rsidRPr="00A87AB5" w:rsidRDefault="00CF207C" w:rsidP="0046783D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Solicitantul a desfășurat activitate pe o perioadă corespunzătoare cel puțin unui an fiscal integral, nu a avut activitatea suspendată temporar oricând în anul curent depunerii cererii de finanțare și în anul fiscal anterior, cu excepția suspendării activității pe perioada stării de alertă/urgent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instituită în conformitate cu prevederile legale în vigoare</w:t>
            </w:r>
          </w:p>
          <w:p w14:paraId="1492E5C3" w14:textId="4963F671" w:rsidR="00CF207C" w:rsidRPr="00A87AB5" w:rsidRDefault="00CF207C" w:rsidP="0046783D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6285373D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609A46C7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64D1E844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3B14EFF8" w14:textId="77777777" w:rsidTr="00746FAF">
        <w:trPr>
          <w:trHeight w:val="416"/>
        </w:trPr>
        <w:tc>
          <w:tcPr>
            <w:tcW w:w="392" w:type="dxa"/>
            <w:vMerge/>
          </w:tcPr>
          <w:p w14:paraId="16A577B9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26CB13FC" w14:textId="0D3D45D5" w:rsidR="00CF207C" w:rsidRPr="00A87AB5" w:rsidRDefault="00A87AB5" w:rsidP="00CF207C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furnizate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beneficiar 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legătur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cu activitatea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desfășurat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se verific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0" w:history="1">
              <w:r w:rsidR="00E53D66"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  <w:r w:rsidR="00CF207C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64EEBA6A" w14:textId="5DC6983C" w:rsidR="00E53D66" w:rsidRPr="00A87AB5" w:rsidRDefault="00E53D66" w:rsidP="00CF207C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/>
          </w:tcPr>
          <w:p w14:paraId="357255EA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7E56D0F0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639A8CB5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1E35AB98" w14:textId="4A3D2BFC" w:rsidTr="00CF207C">
        <w:trPr>
          <w:trHeight w:val="674"/>
        </w:trPr>
        <w:tc>
          <w:tcPr>
            <w:tcW w:w="392" w:type="dxa"/>
            <w:vMerge w:val="restart"/>
          </w:tcPr>
          <w:p w14:paraId="2C957C57" w14:textId="3BEA9890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60AD9AF0" w14:textId="3E5B10A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Solicitantul a înregistrat profit din exploatare (&gt;0 lei) în anul fiscal anterior depunerii cererii de finanțare</w:t>
            </w:r>
            <w:r w:rsidR="00B321CC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7DCFEAA5" w14:textId="4C07AD0D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2C69C25D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4B0B6EF2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173BAE5C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73A6A245" w14:textId="77777777" w:rsidTr="00746FAF">
        <w:trPr>
          <w:trHeight w:val="400"/>
        </w:trPr>
        <w:tc>
          <w:tcPr>
            <w:tcW w:w="392" w:type="dxa"/>
            <w:vMerge/>
          </w:tcPr>
          <w:p w14:paraId="22D4F6DB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5F0EF2EB" w14:textId="381C5CA0" w:rsidR="00CF207C" w:rsidRPr="00A87AB5" w:rsidRDefault="00E53D66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Datele financiare furnizate de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beneficiar se verifica pe </w:t>
            </w:r>
            <w:proofErr w:type="spellStart"/>
            <w:r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 </w:t>
            </w:r>
            <w:hyperlink r:id="rId11" w:history="1">
              <w:r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www.mfinante.ro</w:t>
              </w:r>
            </w:hyperlink>
          </w:p>
        </w:tc>
        <w:tc>
          <w:tcPr>
            <w:tcW w:w="567" w:type="dxa"/>
            <w:vMerge/>
          </w:tcPr>
          <w:p w14:paraId="5B8A0686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592924C2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1A741DC4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5AF2C241" w14:textId="0855EAD9" w:rsidTr="0084288C">
        <w:trPr>
          <w:trHeight w:val="1005"/>
        </w:trPr>
        <w:tc>
          <w:tcPr>
            <w:tcW w:w="392" w:type="dxa"/>
            <w:vMerge w:val="restart"/>
          </w:tcPr>
          <w:p w14:paraId="0C04A516" w14:textId="31EB925F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255CEAE6" w14:textId="5E9F2C5D" w:rsidR="00CF207C" w:rsidRPr="002332B9" w:rsidRDefault="00CF207C" w:rsidP="0084288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2332B9">
              <w:rPr>
                <w:rFonts w:cstheme="minorHAnsi"/>
                <w:sz w:val="20"/>
                <w:szCs w:val="20"/>
                <w:lang w:val="ro-RO"/>
              </w:rPr>
              <w:t>Domeniul/</w:t>
            </w:r>
            <w:proofErr w:type="spellStart"/>
            <w:r w:rsidRPr="002332B9">
              <w:rPr>
                <w:rFonts w:cstheme="minorHAnsi"/>
                <w:sz w:val="20"/>
                <w:szCs w:val="20"/>
                <w:lang w:val="ro-RO"/>
              </w:rPr>
              <w:t>ile</w:t>
            </w:r>
            <w:proofErr w:type="spellEnd"/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de activitate eligibil/e (clasa/le CAEN) </w:t>
            </w:r>
            <w:r w:rsidRPr="002332B9">
              <w:rPr>
                <w:rFonts w:cstheme="minorHAnsi"/>
                <w:noProof/>
                <w:sz w:val="20"/>
                <w:szCs w:val="20"/>
                <w:lang w:val="ro-RO"/>
              </w:rPr>
              <w:t xml:space="preserve">pentru care se solicita finantare </w:t>
            </w:r>
            <w:r w:rsidR="00A87AB5" w:rsidRPr="002332B9">
              <w:rPr>
                <w:rFonts w:cstheme="minorHAnsi"/>
                <w:noProof/>
                <w:sz w:val="20"/>
                <w:szCs w:val="20"/>
                <w:lang w:val="ro-RO"/>
              </w:rPr>
              <w:t>î</w:t>
            </w:r>
            <w:r w:rsidRPr="002332B9">
              <w:rPr>
                <w:rFonts w:cstheme="minorHAnsi"/>
                <w:noProof/>
                <w:sz w:val="20"/>
                <w:szCs w:val="20"/>
                <w:lang w:val="ro-RO"/>
              </w:rPr>
              <w:t>n vederea digitalizarii</w:t>
            </w:r>
            <w:r w:rsidR="0084288C" w:rsidRPr="002332B9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este/sunt înscris/e în obiectul de activitate 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i este/sunt autorizat/e conform 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cerințelor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din Ghidul solicitantului</w:t>
            </w:r>
          </w:p>
        </w:tc>
        <w:tc>
          <w:tcPr>
            <w:tcW w:w="567" w:type="dxa"/>
            <w:vMerge w:val="restart"/>
          </w:tcPr>
          <w:p w14:paraId="78AC471A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333CB345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0450D328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65E96E35" w14:textId="77777777" w:rsidTr="00746FAF">
        <w:trPr>
          <w:trHeight w:val="474"/>
        </w:trPr>
        <w:tc>
          <w:tcPr>
            <w:tcW w:w="392" w:type="dxa"/>
            <w:vMerge/>
          </w:tcPr>
          <w:p w14:paraId="504F1C73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0F3386C2" w14:textId="52CAE020" w:rsidR="0084288C" w:rsidRPr="002332B9" w:rsidRDefault="0084288C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Domeniul de activitate pentru care se solicita 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finanțare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va putea fi selectat din lista domeniilor de activitate eligibile disponibil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preselecție, respectiv acele coduri CAEN care nu se regăsesc în Anexa 7 – Lista CAEN neeligibile.</w:t>
            </w:r>
          </w:p>
          <w:p w14:paraId="3180FB8E" w14:textId="77777777" w:rsidR="0084288C" w:rsidRPr="002332B9" w:rsidRDefault="0084288C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58DD58A5" w14:textId="4D06C7CB" w:rsidR="00F57769" w:rsidRPr="002332B9" w:rsidRDefault="00A87AB5" w:rsidP="002053F4">
            <w:pPr>
              <w:jc w:val="both"/>
              <w:rPr>
                <w:rStyle w:val="Hyperlink"/>
                <w:rFonts w:cstheme="minorHAnsi"/>
                <w:sz w:val="20"/>
                <w:szCs w:val="20"/>
                <w:lang w:val="ro-RO"/>
              </w:rPr>
            </w:pPr>
            <w:r w:rsidRPr="002332B9">
              <w:rPr>
                <w:rFonts w:cstheme="minorHAnsi"/>
                <w:sz w:val="20"/>
                <w:szCs w:val="20"/>
                <w:lang w:val="ro-RO"/>
              </w:rPr>
              <w:t>Înscrierea</w:t>
            </w:r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/autorizarea codului/lor CAEN selectat/e de 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>către</w:t>
            </w:r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 beneficiar 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, se verifica pe </w:t>
            </w:r>
            <w:proofErr w:type="spellStart"/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2053F4" w:rsidRPr="002332B9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2" w:history="1">
              <w:r w:rsidR="0084288C" w:rsidRPr="002332B9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  <w:r w:rsidR="00F57769" w:rsidRPr="002332B9">
              <w:rPr>
                <w:rStyle w:val="Hyperlink"/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0603399A" w14:textId="5B4DD10A" w:rsidR="00A16642" w:rsidRPr="002332B9" w:rsidRDefault="00A16642" w:rsidP="002053F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2332B9">
              <w:rPr>
                <w:rFonts w:cstheme="minorHAnsi"/>
                <w:sz w:val="20"/>
                <w:szCs w:val="20"/>
                <w:lang w:val="ro-RO"/>
              </w:rPr>
              <w:t>Se verific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Pr="002332B9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Pr="002332B9">
              <w:rPr>
                <w:rFonts w:cstheme="minorHAnsi"/>
                <w:sz w:val="20"/>
                <w:szCs w:val="20"/>
                <w:lang w:val="ro-RO"/>
              </w:rPr>
              <w:t xml:space="preserve"> ONRC codurile CAEN autorizate declarate</w:t>
            </w:r>
            <w:r w:rsidR="00A87AB5" w:rsidRPr="002332B9">
              <w:rPr>
                <w:rFonts w:cstheme="minorHAnsi"/>
                <w:sz w:val="20"/>
                <w:szCs w:val="20"/>
                <w:lang w:val="ro-RO"/>
              </w:rPr>
              <w:t>.</w:t>
            </w:r>
          </w:p>
        </w:tc>
        <w:tc>
          <w:tcPr>
            <w:tcW w:w="567" w:type="dxa"/>
            <w:vMerge/>
          </w:tcPr>
          <w:p w14:paraId="44C589E8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694875A0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1BD56DFE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4810EE1D" w14:textId="3E3B0F53" w:rsidTr="00CF207C">
        <w:trPr>
          <w:trHeight w:val="923"/>
        </w:trPr>
        <w:tc>
          <w:tcPr>
            <w:tcW w:w="392" w:type="dxa"/>
            <w:vMerge w:val="restart"/>
          </w:tcPr>
          <w:p w14:paraId="2E132310" w14:textId="355B19FC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1BB44E0A" w14:textId="0F014606" w:rsidR="00CF207C" w:rsidRPr="002332B9" w:rsidRDefault="00CF207C" w:rsidP="00876DD0">
            <w:pPr>
              <w:jc w:val="both"/>
              <w:rPr>
                <w:rFonts w:cstheme="minorHAnsi"/>
                <w:sz w:val="20"/>
                <w:szCs w:val="20"/>
                <w:shd w:val="clear" w:color="auto" w:fill="FAFAFA"/>
                <w:lang w:val="en-US"/>
              </w:rPr>
            </w:pPr>
            <w:r w:rsidRPr="00040970">
              <w:rPr>
                <w:rFonts w:cstheme="minorHAnsi"/>
                <w:sz w:val="20"/>
                <w:szCs w:val="20"/>
                <w:lang w:val="ro-RO"/>
              </w:rPr>
              <w:t>Solicitantul n</w:t>
            </w:r>
            <w:r w:rsidRPr="00040970">
              <w:rPr>
                <w:rFonts w:cstheme="minorHAnsi"/>
                <w:sz w:val="20"/>
                <w:szCs w:val="20"/>
                <w:shd w:val="clear" w:color="auto" w:fill="FAFAFA"/>
                <w:lang w:val="ro-RO"/>
              </w:rPr>
              <w:t>u se încadrează în categoria întreprinderilor în dificultate conform anexei ”Întreprinderi în dificultate” (conform situațiilor financiare aferente anului fiscal anterior depunerii CF).</w:t>
            </w:r>
          </w:p>
          <w:p w14:paraId="2F34E26C" w14:textId="384EDC49" w:rsidR="00CF207C" w:rsidRPr="00040970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1ADF1943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7BA84FA8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35801C61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3BE4C139" w14:textId="77777777" w:rsidTr="00746FAF">
        <w:trPr>
          <w:trHeight w:val="425"/>
        </w:trPr>
        <w:tc>
          <w:tcPr>
            <w:tcW w:w="392" w:type="dxa"/>
            <w:vMerge/>
          </w:tcPr>
          <w:p w14:paraId="171EE27E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029BCD1F" w14:textId="59D1FF3F" w:rsidR="00B13687" w:rsidRPr="00040970" w:rsidRDefault="00A87AB5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040970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 solicitant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completează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 datele necesare calculului Rezultatului total acumulat/pierderii de capital iar daca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n urma acestui calcul rezulta ca firma este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n dificultate atunci platforma de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 ii va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restricționa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 xml:space="preserve"> accesul la continuarea procesului de 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B13687" w:rsidRPr="00040970">
              <w:rPr>
                <w:rFonts w:cstheme="minorHAnsi"/>
                <w:sz w:val="20"/>
                <w:szCs w:val="20"/>
                <w:lang w:val="ro-RO"/>
              </w:rPr>
              <w:t>.</w:t>
            </w:r>
          </w:p>
          <w:p w14:paraId="43B67E22" w14:textId="77777777" w:rsidR="00B13687" w:rsidRPr="00040970" w:rsidRDefault="00B13687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16E3BE8A" w14:textId="5879E1A4" w:rsidR="00CF207C" w:rsidRPr="00040970" w:rsidRDefault="00B13687" w:rsidP="00B13687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040970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Pentru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potențialii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solicitanți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care au introdus date care nu au condus la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încadrarea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n categoria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întreprinderilor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in dificultate, atunci datele financiare se verifica pe </w:t>
            </w:r>
            <w:proofErr w:type="spellStart"/>
            <w:r w:rsidRPr="00040970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3" w:history="1">
              <w:r w:rsidRPr="00040970">
                <w:rPr>
                  <w:rStyle w:val="Hyperlink"/>
                  <w:rFonts w:cstheme="minorHAnsi"/>
                  <w:color w:val="auto"/>
                  <w:sz w:val="20"/>
                  <w:szCs w:val="20"/>
                  <w:lang w:val="ro-RO"/>
                </w:rPr>
                <w:t>www.mfinante.ro</w:t>
              </w:r>
            </w:hyperlink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iar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Pr="00040970">
              <w:rPr>
                <w:rFonts w:cstheme="minorHAnsi"/>
                <w:sz w:val="20"/>
                <w:szCs w:val="20"/>
                <w:lang w:val="ro-RO"/>
              </w:rPr>
              <w:t xml:space="preserve"> cu privire la insolventa sau ajutoare pentru salvare sunt furnizate pe proprie</w:t>
            </w:r>
            <w:r w:rsidR="005270D5"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răspundere</w:t>
            </w:r>
            <w:r w:rsidR="005270D5" w:rsidRPr="00040970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fără</w:t>
            </w:r>
            <w:r w:rsidR="005270D5" w:rsidRPr="00040970">
              <w:rPr>
                <w:rFonts w:cstheme="minorHAnsi"/>
                <w:sz w:val="20"/>
                <w:szCs w:val="20"/>
                <w:lang w:val="ro-RO"/>
              </w:rPr>
              <w:t xml:space="preserve"> a fi verificate 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5270D5" w:rsidRPr="00040970">
              <w:rPr>
                <w:rFonts w:cstheme="minorHAnsi"/>
                <w:sz w:val="20"/>
                <w:szCs w:val="20"/>
                <w:lang w:val="ro-RO"/>
              </w:rPr>
              <w:t>n aceasta faz</w:t>
            </w:r>
            <w:r w:rsidR="00A87AB5" w:rsidRPr="00040970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5270D5" w:rsidRPr="00040970">
              <w:rPr>
                <w:rFonts w:cstheme="minorHAnsi"/>
                <w:sz w:val="20"/>
                <w:szCs w:val="20"/>
                <w:lang w:val="ro-RO"/>
              </w:rPr>
              <w:t>.</w:t>
            </w:r>
          </w:p>
        </w:tc>
        <w:tc>
          <w:tcPr>
            <w:tcW w:w="567" w:type="dxa"/>
            <w:vMerge/>
          </w:tcPr>
          <w:p w14:paraId="3A11618A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47D7C7D2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3C199137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2680C97B" w14:textId="70185D09" w:rsidTr="00CF207C">
        <w:trPr>
          <w:trHeight w:val="658"/>
        </w:trPr>
        <w:tc>
          <w:tcPr>
            <w:tcW w:w="392" w:type="dxa"/>
            <w:vMerge w:val="restart"/>
          </w:tcPr>
          <w:p w14:paraId="31D5C9BF" w14:textId="49083CD5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71A97ADA" w14:textId="36BF1767" w:rsidR="00CF207C" w:rsidRPr="00A87AB5" w:rsidRDefault="00CF207C" w:rsidP="008478A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Solicitantul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i reprezentantul s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u legal nu se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încadrează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n niciuna dintre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situațiile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de excludere</w:t>
            </w:r>
            <w:r w:rsidR="000D2DB2" w:rsidRPr="00A87AB5">
              <w:rPr>
                <w:rFonts w:cstheme="minorHAnsi"/>
                <w:sz w:val="20"/>
                <w:szCs w:val="20"/>
                <w:lang w:val="ro-RO"/>
              </w:rPr>
              <w:t xml:space="preserve"> prezentate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0D2DB2" w:rsidRPr="00A87AB5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.</w:t>
            </w:r>
            <w:r w:rsidR="005D7A18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14:paraId="0DDAEE91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331134D2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352F5947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43134D40" w14:textId="77777777" w:rsidTr="00746FAF">
        <w:trPr>
          <w:trHeight w:val="416"/>
        </w:trPr>
        <w:tc>
          <w:tcPr>
            <w:tcW w:w="392" w:type="dxa"/>
            <w:vMerge/>
          </w:tcPr>
          <w:p w14:paraId="2896FE36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43A31969" w14:textId="260EA2A2" w:rsidR="00CF207C" w:rsidRPr="00A87AB5" w:rsidRDefault="000D2DB2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Platforma de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va oferi posibilitatea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potențialului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de a prezenta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informații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cu privire la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situațiile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de excludere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i va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restricționa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accesul la continuarea procesului de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pentru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aceia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dintre ei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 xml:space="preserve">care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se afl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ntr-una sau mai multe dintre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situațiile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de excludere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 xml:space="preserve"> prezentate în Ghidul solicitantului.</w:t>
            </w:r>
          </w:p>
        </w:tc>
        <w:tc>
          <w:tcPr>
            <w:tcW w:w="567" w:type="dxa"/>
            <w:vMerge/>
          </w:tcPr>
          <w:p w14:paraId="6312A909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5DEB9A94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32961794" w14:textId="77777777" w:rsidR="00CF207C" w:rsidRPr="00A87AB5" w:rsidRDefault="00CF207C" w:rsidP="0046783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2970ED5E" w14:textId="40A01FE2" w:rsidTr="00CF207C">
        <w:trPr>
          <w:trHeight w:val="940"/>
        </w:trPr>
        <w:tc>
          <w:tcPr>
            <w:tcW w:w="392" w:type="dxa"/>
            <w:vMerge w:val="restart"/>
          </w:tcPr>
          <w:p w14:paraId="3858FE87" w14:textId="4E9682D0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06E5A48E" w14:textId="2C98948A" w:rsidR="00CF207C" w:rsidRPr="00A87AB5" w:rsidRDefault="00CF207C" w:rsidP="009C3D1A">
            <w:pPr>
              <w:pStyle w:val="ListParagraph"/>
              <w:spacing w:before="100" w:beforeAutospacing="1" w:after="100" w:afterAutospacing="1"/>
              <w:ind w:left="0"/>
              <w:rPr>
                <w:rFonts w:cstheme="minorHAnsi"/>
                <w:sz w:val="20"/>
                <w:szCs w:val="20"/>
                <w:lang w:val="ro-RO" w:bidi="ro-RO"/>
              </w:rPr>
            </w:pP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>Locul/locurile de implementare a proiectului trebuie s</w:t>
            </w:r>
            <w:r w:rsidR="00A87AB5">
              <w:rPr>
                <w:rFonts w:cstheme="minorHAnsi"/>
                <w:sz w:val="20"/>
                <w:szCs w:val="20"/>
                <w:lang w:val="ro-RO" w:bidi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 xml:space="preserve"> fie </w:t>
            </w:r>
            <w:r w:rsidR="00A87AB5" w:rsidRPr="00A87AB5">
              <w:rPr>
                <w:rFonts w:cstheme="minorHAnsi"/>
                <w:sz w:val="20"/>
                <w:szCs w:val="20"/>
                <w:lang w:val="ro-RO" w:bidi="ro-RO"/>
              </w:rPr>
              <w:t>înregistrat</w:t>
            </w: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 xml:space="preserve">/e ca sediu principal sau sediu secundar la ONRC cel mai </w:t>
            </w:r>
            <w:r w:rsidR="00582552" w:rsidRPr="00A87AB5">
              <w:rPr>
                <w:rFonts w:cstheme="minorHAnsi"/>
                <w:sz w:val="20"/>
                <w:szCs w:val="20"/>
                <w:lang w:val="ro-RO" w:bidi="ro-RO"/>
              </w:rPr>
              <w:t>târziu</w:t>
            </w: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 xml:space="preserve"> la data de </w:t>
            </w:r>
            <w:r w:rsidR="00445B8C" w:rsidRPr="00A87AB5">
              <w:rPr>
                <w:rFonts w:cstheme="minorHAnsi"/>
                <w:sz w:val="20"/>
                <w:szCs w:val="20"/>
                <w:lang w:val="ro-RO" w:bidi="ro-RO"/>
              </w:rPr>
              <w:t>03.01.2023</w:t>
            </w:r>
            <w:r w:rsidRPr="00A87AB5">
              <w:rPr>
                <w:rFonts w:cstheme="minorHAnsi"/>
                <w:sz w:val="20"/>
                <w:szCs w:val="20"/>
                <w:lang w:val="ro-RO" w:bidi="ro-RO"/>
              </w:rPr>
              <w:t>, in Regiunea Nord-Est.</w:t>
            </w:r>
          </w:p>
          <w:p w14:paraId="49295CE8" w14:textId="387B3455" w:rsidR="00CF207C" w:rsidRPr="00A87AB5" w:rsidRDefault="00CF207C" w:rsidP="009C3D1A">
            <w:pPr>
              <w:pStyle w:val="ListParagraph"/>
              <w:spacing w:before="100" w:beforeAutospacing="1" w:after="100" w:afterAutospacing="1"/>
              <w:ind w:left="0"/>
              <w:rPr>
                <w:rFonts w:cstheme="minorHAnsi"/>
                <w:sz w:val="20"/>
                <w:szCs w:val="20"/>
                <w:lang w:val="ro-RO" w:bidi="ro-RO"/>
              </w:rPr>
            </w:pPr>
          </w:p>
        </w:tc>
        <w:tc>
          <w:tcPr>
            <w:tcW w:w="567" w:type="dxa"/>
            <w:vMerge w:val="restart"/>
          </w:tcPr>
          <w:p w14:paraId="52DDFE48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626F3B84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546DDE84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6D67408A" w14:textId="77777777" w:rsidTr="00746FAF">
        <w:trPr>
          <w:trHeight w:val="408"/>
        </w:trPr>
        <w:tc>
          <w:tcPr>
            <w:tcW w:w="392" w:type="dxa"/>
            <w:vMerge/>
          </w:tcPr>
          <w:p w14:paraId="17F9EE34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6A33FEEE" w14:textId="3CBBDF89" w:rsidR="00CF207C" w:rsidRPr="00A87AB5" w:rsidRDefault="00A87AB5" w:rsidP="00CF207C">
            <w:pPr>
              <w:pStyle w:val="ListParagraph"/>
              <w:spacing w:before="100" w:beforeAutospacing="1" w:after="100" w:afterAutospacing="1"/>
              <w:ind w:left="0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 xml:space="preserve"> furnizate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 xml:space="preserve"> beneficiar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legătur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 xml:space="preserve"> cu locul de implementare a proiectului se verifica pe </w:t>
            </w:r>
            <w:proofErr w:type="spellStart"/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660F08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4" w:history="1">
              <w:r w:rsidR="00660F08"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</w:p>
        </w:tc>
        <w:tc>
          <w:tcPr>
            <w:tcW w:w="567" w:type="dxa"/>
            <w:vMerge/>
          </w:tcPr>
          <w:p w14:paraId="67C7D995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78F32342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229C9E07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35548C3B" w14:textId="7FB823AD" w:rsidTr="00CF207C">
        <w:trPr>
          <w:trHeight w:val="641"/>
        </w:trPr>
        <w:tc>
          <w:tcPr>
            <w:tcW w:w="392" w:type="dxa"/>
            <w:vMerge w:val="restart"/>
          </w:tcPr>
          <w:p w14:paraId="6C4F077D" w14:textId="7F254192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2EDF262B" w14:textId="36DDA747" w:rsidR="00CF207C" w:rsidRPr="00A87AB5" w:rsidRDefault="00CF207C" w:rsidP="00437374">
            <w:pPr>
              <w:spacing w:before="100" w:beforeAutospacing="1" w:after="100" w:afterAutospacing="1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Dac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solicitantul este </w:t>
            </w:r>
            <w:r w:rsidR="00A87AB5" w:rsidRPr="00A87AB5">
              <w:rPr>
                <w:rFonts w:cstheme="minorHAnsi"/>
                <w:sz w:val="20"/>
                <w:szCs w:val="20"/>
                <w:lang w:val="ro-RO"/>
              </w:rPr>
              <w:t>microîntreprindere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, locul/locurile de implementare a proiectului este/sunt doar </w:t>
            </w:r>
            <w:r w:rsidR="00A87AB5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n mediul urban </w:t>
            </w:r>
          </w:p>
        </w:tc>
        <w:tc>
          <w:tcPr>
            <w:tcW w:w="567" w:type="dxa"/>
            <w:vMerge w:val="restart"/>
          </w:tcPr>
          <w:p w14:paraId="41C81EDB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3BC4626D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564BD178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1AEE4E91" w14:textId="77777777" w:rsidTr="00746FAF">
        <w:trPr>
          <w:trHeight w:val="449"/>
        </w:trPr>
        <w:tc>
          <w:tcPr>
            <w:tcW w:w="392" w:type="dxa"/>
            <w:vMerge/>
          </w:tcPr>
          <w:p w14:paraId="3A0B77DC" w14:textId="77777777" w:rsidR="00CF207C" w:rsidRPr="00A87AB5" w:rsidRDefault="00CF207C" w:rsidP="00A7061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558B0361" w14:textId="7212150B" w:rsidR="00A65477" w:rsidRPr="00A87AB5" w:rsidRDefault="00A87AB5" w:rsidP="00A65477">
            <w:pPr>
              <w:spacing w:before="100" w:beforeAutospacing="1" w:after="100" w:afterAutospacing="1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n cazul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n care verificarea de la punctul 1,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evidențiază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încadrarea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n categoria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microîntreprinderilor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, atunci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nu va permite continuarea procesului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,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decât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pentru proiectele care vor fi implementare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n mediul urban. </w:t>
            </w:r>
          </w:p>
          <w:p w14:paraId="6501FCA6" w14:textId="4A793B19" w:rsidR="00CF207C" w:rsidRPr="00A87AB5" w:rsidRDefault="00A87AB5" w:rsidP="00CF207C">
            <w:pPr>
              <w:spacing w:before="100" w:beforeAutospacing="1" w:after="100" w:afterAutospacing="1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Informațiile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furnizate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beneficiar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legătur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cu locul de implementare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>n mediul urban</w:t>
            </w:r>
            <w:r w:rsidR="008F0022" w:rsidRPr="00A87AB5">
              <w:rPr>
                <w:rFonts w:cstheme="minorHAnsi"/>
                <w:sz w:val="20"/>
                <w:szCs w:val="20"/>
                <w:lang w:val="ro-RO"/>
              </w:rPr>
              <w:t xml:space="preserve"> sau rural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a proiectului se verific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="00A65477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5" w:history="1">
              <w:r w:rsidR="00A65477"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https://portal.onrc.ro/</w:t>
              </w:r>
            </w:hyperlink>
          </w:p>
        </w:tc>
        <w:tc>
          <w:tcPr>
            <w:tcW w:w="567" w:type="dxa"/>
            <w:vMerge/>
          </w:tcPr>
          <w:p w14:paraId="18466252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5F369A7C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4CD177D0" w14:textId="77777777" w:rsidR="00CF207C" w:rsidRPr="00A87AB5" w:rsidRDefault="00CF207C" w:rsidP="00AC61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6D803D9A" w14:textId="1D0B08BF" w:rsidTr="00CF207C">
        <w:trPr>
          <w:trHeight w:val="874"/>
        </w:trPr>
        <w:tc>
          <w:tcPr>
            <w:tcW w:w="392" w:type="dxa"/>
            <w:vMerge w:val="restart"/>
          </w:tcPr>
          <w:p w14:paraId="17FAD9B8" w14:textId="2E4DCEC3" w:rsidR="00CF207C" w:rsidRPr="00A87AB5" w:rsidRDefault="00CF207C" w:rsidP="007D08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5A3D6997" w14:textId="6CFA7F8E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Rata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solvabilității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generale a solicitantului pe anul fiscal anterior depunerii CF:</w:t>
            </w:r>
          </w:p>
          <w:p w14:paraId="6820E3E9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5C414346" w14:textId="13898883" w:rsidR="00CF207C" w:rsidRPr="00A87AB5" w:rsidRDefault="00CF207C" w:rsidP="0099228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Active totale/ Datorii totale &gt; 1</w:t>
            </w:r>
          </w:p>
          <w:p w14:paraId="0D7F3672" w14:textId="4A42E5BF" w:rsidR="00CF207C" w:rsidRPr="00A87AB5" w:rsidRDefault="00CF207C" w:rsidP="005B672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 w:val="restart"/>
          </w:tcPr>
          <w:p w14:paraId="0B450501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5EA6FCEC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4B5B5517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716532C4" w14:textId="77777777" w:rsidTr="00746FAF">
        <w:trPr>
          <w:trHeight w:val="466"/>
        </w:trPr>
        <w:tc>
          <w:tcPr>
            <w:tcW w:w="392" w:type="dxa"/>
            <w:vMerge/>
          </w:tcPr>
          <w:p w14:paraId="187823AE" w14:textId="77777777" w:rsidR="00CF207C" w:rsidRPr="00A87AB5" w:rsidRDefault="00CF207C" w:rsidP="007D08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614A0394" w14:textId="4F037417" w:rsidR="00545A2D" w:rsidRPr="00A87AB5" w:rsidRDefault="00DF5CB6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completează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datele necesare calculului ratei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solvabilității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generale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iar daca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n urma acestui calcul rezulta ca valoarea este mai mica sau egal cu 1, atunci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i va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restricționa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 xml:space="preserve"> accesul la continuarea procesului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545A2D" w:rsidRPr="00A87AB5">
              <w:rPr>
                <w:rFonts w:cstheme="minorHAnsi"/>
                <w:sz w:val="20"/>
                <w:szCs w:val="20"/>
                <w:lang w:val="ro-RO"/>
              </w:rPr>
              <w:t>.</w:t>
            </w:r>
          </w:p>
          <w:p w14:paraId="7D715BC9" w14:textId="77777777" w:rsidR="00545A2D" w:rsidRPr="00A87AB5" w:rsidRDefault="00545A2D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53FD9B35" w14:textId="029A2062" w:rsidR="00CF207C" w:rsidRPr="00A87AB5" w:rsidRDefault="00545A2D" w:rsidP="00CF207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Datele financiare introduse de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către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</w:t>
            </w:r>
            <w:r w:rsidR="00DF5CB6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, se verific</w:t>
            </w:r>
            <w:r w:rsidR="00DF5CB6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6" w:history="1">
              <w:r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www.mfinante.ro</w:t>
              </w:r>
            </w:hyperlink>
          </w:p>
        </w:tc>
        <w:tc>
          <w:tcPr>
            <w:tcW w:w="567" w:type="dxa"/>
            <w:vMerge/>
          </w:tcPr>
          <w:p w14:paraId="433827A8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5C5624FB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6FD59FED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0D861214" w14:textId="72DC33E5" w:rsidTr="00CF207C">
        <w:trPr>
          <w:trHeight w:val="932"/>
        </w:trPr>
        <w:tc>
          <w:tcPr>
            <w:tcW w:w="392" w:type="dxa"/>
            <w:vMerge w:val="restart"/>
          </w:tcPr>
          <w:p w14:paraId="00E66D48" w14:textId="77777777" w:rsidR="00CF207C" w:rsidRPr="00A87AB5" w:rsidRDefault="00CF207C" w:rsidP="007D08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0E341497" w14:textId="79AE2B0F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Rata rentabilității generale a solicitantului:</w:t>
            </w:r>
          </w:p>
          <w:p w14:paraId="2FCFDB5E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22FB25D8" w14:textId="570E8CC3" w:rsidR="00CF207C" w:rsidRPr="00A87AB5" w:rsidRDefault="00CF207C" w:rsidP="008478A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Profit net/Cheltuieli totale x 100 &gt; 1%</w:t>
            </w:r>
            <w:r w:rsidR="00B321CC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14:paraId="17E79C46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 w:val="restart"/>
          </w:tcPr>
          <w:p w14:paraId="3422720D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 w:val="restart"/>
          </w:tcPr>
          <w:p w14:paraId="04BFC06C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F207C" w:rsidRPr="00A87AB5" w14:paraId="76425C12" w14:textId="77777777" w:rsidTr="00746FAF">
        <w:trPr>
          <w:trHeight w:val="416"/>
        </w:trPr>
        <w:tc>
          <w:tcPr>
            <w:tcW w:w="392" w:type="dxa"/>
            <w:vMerge/>
          </w:tcPr>
          <w:p w14:paraId="16CABA86" w14:textId="77777777" w:rsidR="00CF207C" w:rsidRPr="00A87AB5" w:rsidRDefault="00CF207C" w:rsidP="007D08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112" w:type="dxa"/>
          </w:tcPr>
          <w:p w14:paraId="17BE268E" w14:textId="456C094E" w:rsidR="00744E4F" w:rsidRPr="00A87AB5" w:rsidRDefault="00DF5CB6" w:rsidP="00744E4F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completează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n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datele necesare calculului ratei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rentabilității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generale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iar daca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>n urma acestui calcul rezulta ca valoarea este mai mic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sau egal cu 1</w:t>
            </w:r>
            <w:r w:rsidR="00072C4E" w:rsidRPr="00A87AB5">
              <w:rPr>
                <w:rFonts w:cstheme="minorHAnsi"/>
                <w:sz w:val="20"/>
                <w:szCs w:val="20"/>
                <w:lang w:val="ro-RO"/>
              </w:rPr>
              <w:t>%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, atunci platforma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i va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restricționa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 xml:space="preserve"> accesul la continuarea procesului de 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="00744E4F" w:rsidRPr="00A87AB5">
              <w:rPr>
                <w:rFonts w:cstheme="minorHAnsi"/>
                <w:sz w:val="20"/>
                <w:szCs w:val="20"/>
                <w:lang w:val="ro-RO"/>
              </w:rPr>
              <w:t>.</w:t>
            </w:r>
          </w:p>
          <w:p w14:paraId="74D9C1DE" w14:textId="77777777" w:rsidR="00744E4F" w:rsidRPr="00A87AB5" w:rsidRDefault="00744E4F" w:rsidP="00744E4F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  <w:p w14:paraId="7A62737A" w14:textId="5ACA98F0" w:rsidR="00CF207C" w:rsidRPr="00A87AB5" w:rsidRDefault="00744E4F" w:rsidP="00744E4F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Datele financiare introduse de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către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potențialul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solicitant in platforma de </w:t>
            </w:r>
            <w:r w:rsidR="00DF5CB6" w:rsidRPr="00A87AB5">
              <w:rPr>
                <w:rFonts w:cstheme="minorHAnsi"/>
                <w:sz w:val="20"/>
                <w:szCs w:val="20"/>
                <w:lang w:val="ro-RO"/>
              </w:rPr>
              <w:t>preselecție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>, se verific</w:t>
            </w:r>
            <w:r w:rsidR="00DF5CB6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pe </w:t>
            </w:r>
            <w:proofErr w:type="spellStart"/>
            <w:r w:rsidRPr="00A87AB5">
              <w:rPr>
                <w:rFonts w:cstheme="minorHAnsi"/>
                <w:sz w:val="20"/>
                <w:szCs w:val="20"/>
                <w:lang w:val="ro-RO"/>
              </w:rPr>
              <w:t>siteul</w:t>
            </w:r>
            <w:proofErr w:type="spellEnd"/>
            <w:r w:rsidRPr="00A87AB5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hyperlink r:id="rId17" w:history="1">
              <w:r w:rsidRPr="00A87AB5">
                <w:rPr>
                  <w:rStyle w:val="Hyperlink"/>
                  <w:rFonts w:cstheme="minorHAnsi"/>
                  <w:sz w:val="20"/>
                  <w:szCs w:val="20"/>
                  <w:lang w:val="ro-RO"/>
                </w:rPr>
                <w:t>www.mfinante.ro</w:t>
              </w:r>
            </w:hyperlink>
          </w:p>
        </w:tc>
        <w:tc>
          <w:tcPr>
            <w:tcW w:w="567" w:type="dxa"/>
            <w:vMerge/>
          </w:tcPr>
          <w:p w14:paraId="2DF5167E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69" w:type="dxa"/>
            <w:vMerge/>
          </w:tcPr>
          <w:p w14:paraId="2E6CAD53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14:paraId="1A4222EB" w14:textId="77777777" w:rsidR="00CF207C" w:rsidRPr="00A87AB5" w:rsidRDefault="00CF207C" w:rsidP="00C276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BD9E4A1" w14:textId="1D2186A6" w:rsidR="00E3461C" w:rsidRPr="00A87AB5" w:rsidRDefault="00E3461C" w:rsidP="005728F6">
      <w:pPr>
        <w:jc w:val="both"/>
        <w:rPr>
          <w:rFonts w:cstheme="minorHAnsi"/>
          <w:sz w:val="20"/>
          <w:szCs w:val="20"/>
          <w:lang w:val="ro-RO"/>
        </w:rPr>
      </w:pPr>
    </w:p>
    <w:sectPr w:rsidR="00E3461C" w:rsidRPr="00A87AB5" w:rsidSect="00EB1248">
      <w:headerReference w:type="default" r:id="rId18"/>
      <w:pgSz w:w="11906" w:h="16838"/>
      <w:pgMar w:top="124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9C01" w14:textId="77777777" w:rsidR="006B2927" w:rsidRDefault="006B2927" w:rsidP="009C3D1A">
      <w:pPr>
        <w:spacing w:after="0" w:line="240" w:lineRule="auto"/>
      </w:pPr>
      <w:r>
        <w:separator/>
      </w:r>
    </w:p>
  </w:endnote>
  <w:endnote w:type="continuationSeparator" w:id="0">
    <w:p w14:paraId="78D507F3" w14:textId="77777777" w:rsidR="006B2927" w:rsidRDefault="006B2927" w:rsidP="009C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70586" w14:textId="77777777" w:rsidR="006B2927" w:rsidRDefault="006B2927" w:rsidP="009C3D1A">
      <w:pPr>
        <w:spacing w:after="0" w:line="240" w:lineRule="auto"/>
      </w:pPr>
      <w:r>
        <w:separator/>
      </w:r>
    </w:p>
  </w:footnote>
  <w:footnote w:type="continuationSeparator" w:id="0">
    <w:p w14:paraId="6A267739" w14:textId="77777777" w:rsidR="006B2927" w:rsidRDefault="006B2927" w:rsidP="009C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3FA5" w14:textId="484183B3" w:rsidR="00EB1248" w:rsidRDefault="00EB1248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4663FC0" wp14:editId="4A5D5B28">
          <wp:simplePos x="0" y="0"/>
          <wp:positionH relativeFrom="column">
            <wp:posOffset>4852327</wp:posOffset>
          </wp:positionH>
          <wp:positionV relativeFrom="paragraph">
            <wp:posOffset>-180845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44E"/>
    <w:multiLevelType w:val="hybridMultilevel"/>
    <w:tmpl w:val="7068B226"/>
    <w:lvl w:ilvl="0" w:tplc="0809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92478E"/>
    <w:multiLevelType w:val="hybridMultilevel"/>
    <w:tmpl w:val="0C546A7E"/>
    <w:lvl w:ilvl="0" w:tplc="3BF6C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A1DE8"/>
    <w:multiLevelType w:val="hybridMultilevel"/>
    <w:tmpl w:val="1DA0F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3CF5"/>
    <w:multiLevelType w:val="hybridMultilevel"/>
    <w:tmpl w:val="AA04D48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84B72"/>
    <w:multiLevelType w:val="hybridMultilevel"/>
    <w:tmpl w:val="D44C10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7177E"/>
    <w:multiLevelType w:val="hybridMultilevel"/>
    <w:tmpl w:val="1F16E6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F412A"/>
    <w:multiLevelType w:val="hybridMultilevel"/>
    <w:tmpl w:val="31748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011AE"/>
    <w:multiLevelType w:val="multilevel"/>
    <w:tmpl w:val="E0244C0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333333"/>
      </w:rPr>
    </w:lvl>
    <w:lvl w:ilvl="1">
      <w:start w:val="21"/>
      <w:numFmt w:val="decimal"/>
      <w:lvlText w:val="%1.%2"/>
      <w:lvlJc w:val="left"/>
      <w:pPr>
        <w:ind w:left="450" w:hanging="450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8" w15:restartNumberingAfterBreak="0">
    <w:nsid w:val="2E9E20FB"/>
    <w:multiLevelType w:val="hybridMultilevel"/>
    <w:tmpl w:val="C6F405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B5F29"/>
    <w:multiLevelType w:val="hybridMultilevel"/>
    <w:tmpl w:val="33C6BB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827DF"/>
    <w:multiLevelType w:val="hybridMultilevel"/>
    <w:tmpl w:val="1F8ED0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47C98"/>
    <w:multiLevelType w:val="hybridMultilevel"/>
    <w:tmpl w:val="6066C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758E8"/>
    <w:multiLevelType w:val="hybridMultilevel"/>
    <w:tmpl w:val="9D88F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47969"/>
    <w:multiLevelType w:val="hybridMultilevel"/>
    <w:tmpl w:val="6DE8ED0C"/>
    <w:lvl w:ilvl="0" w:tplc="7498516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827584"/>
    <w:multiLevelType w:val="hybridMultilevel"/>
    <w:tmpl w:val="1F8ED0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2F4"/>
    <w:multiLevelType w:val="hybridMultilevel"/>
    <w:tmpl w:val="6630D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5069C"/>
    <w:multiLevelType w:val="hybridMultilevel"/>
    <w:tmpl w:val="49C694A0"/>
    <w:lvl w:ilvl="0" w:tplc="554812C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F7798B"/>
    <w:multiLevelType w:val="hybridMultilevel"/>
    <w:tmpl w:val="11A4F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D263A3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5E061E"/>
    <w:multiLevelType w:val="hybridMultilevel"/>
    <w:tmpl w:val="A86236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143CB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B637CC"/>
    <w:multiLevelType w:val="hybridMultilevel"/>
    <w:tmpl w:val="18AE2EAE"/>
    <w:lvl w:ilvl="0" w:tplc="42FAC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F71D4"/>
    <w:multiLevelType w:val="hybridMultilevel"/>
    <w:tmpl w:val="22A222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53376"/>
    <w:multiLevelType w:val="multilevel"/>
    <w:tmpl w:val="6442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76236265"/>
    <w:multiLevelType w:val="hybridMultilevel"/>
    <w:tmpl w:val="F5EA98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B51AA"/>
    <w:multiLevelType w:val="hybridMultilevel"/>
    <w:tmpl w:val="440CCE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DB6DC4"/>
    <w:multiLevelType w:val="hybridMultilevel"/>
    <w:tmpl w:val="D82EDC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56757">
    <w:abstractNumId w:val="23"/>
  </w:num>
  <w:num w:numId="2" w16cid:durableId="488864126">
    <w:abstractNumId w:val="1"/>
  </w:num>
  <w:num w:numId="3" w16cid:durableId="1432972097">
    <w:abstractNumId w:val="13"/>
  </w:num>
  <w:num w:numId="4" w16cid:durableId="1922400229">
    <w:abstractNumId w:val="12"/>
  </w:num>
  <w:num w:numId="5" w16cid:durableId="1212576667">
    <w:abstractNumId w:val="15"/>
  </w:num>
  <w:num w:numId="6" w16cid:durableId="1883399636">
    <w:abstractNumId w:val="7"/>
  </w:num>
  <w:num w:numId="7" w16cid:durableId="1411200650">
    <w:abstractNumId w:val="2"/>
  </w:num>
  <w:num w:numId="8" w16cid:durableId="919752136">
    <w:abstractNumId w:val="6"/>
  </w:num>
  <w:num w:numId="9" w16cid:durableId="807013614">
    <w:abstractNumId w:val="11"/>
  </w:num>
  <w:num w:numId="10" w16cid:durableId="1672372283">
    <w:abstractNumId w:val="24"/>
  </w:num>
  <w:num w:numId="11" w16cid:durableId="900098388">
    <w:abstractNumId w:val="9"/>
  </w:num>
  <w:num w:numId="12" w16cid:durableId="952981491">
    <w:abstractNumId w:val="3"/>
  </w:num>
  <w:num w:numId="13" w16cid:durableId="487595889">
    <w:abstractNumId w:val="17"/>
  </w:num>
  <w:num w:numId="14" w16cid:durableId="641276693">
    <w:abstractNumId w:val="18"/>
  </w:num>
  <w:num w:numId="15" w16cid:durableId="124853391">
    <w:abstractNumId w:val="20"/>
  </w:num>
  <w:num w:numId="16" w16cid:durableId="1063333279">
    <w:abstractNumId w:val="4"/>
  </w:num>
  <w:num w:numId="17" w16cid:durableId="1106578632">
    <w:abstractNumId w:val="10"/>
  </w:num>
  <w:num w:numId="18" w16cid:durableId="1159033551">
    <w:abstractNumId w:val="8"/>
  </w:num>
  <w:num w:numId="19" w16cid:durableId="1183125604">
    <w:abstractNumId w:val="25"/>
  </w:num>
  <w:num w:numId="20" w16cid:durableId="1567181280">
    <w:abstractNumId w:val="22"/>
  </w:num>
  <w:num w:numId="21" w16cid:durableId="1116366403">
    <w:abstractNumId w:val="19"/>
  </w:num>
  <w:num w:numId="22" w16cid:durableId="2118989234">
    <w:abstractNumId w:val="21"/>
  </w:num>
  <w:num w:numId="23" w16cid:durableId="670257894">
    <w:abstractNumId w:val="14"/>
  </w:num>
  <w:num w:numId="24" w16cid:durableId="727386523">
    <w:abstractNumId w:val="0"/>
  </w:num>
  <w:num w:numId="25" w16cid:durableId="1561941908">
    <w:abstractNumId w:val="5"/>
  </w:num>
  <w:num w:numId="26" w16cid:durableId="857504008">
    <w:abstractNumId w:val="26"/>
  </w:num>
  <w:num w:numId="27" w16cid:durableId="1839808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1B"/>
    <w:rsid w:val="00006035"/>
    <w:rsid w:val="00006D6F"/>
    <w:rsid w:val="00014301"/>
    <w:rsid w:val="0001443A"/>
    <w:rsid w:val="00025685"/>
    <w:rsid w:val="0003386F"/>
    <w:rsid w:val="000403D9"/>
    <w:rsid w:val="00040970"/>
    <w:rsid w:val="00055FF8"/>
    <w:rsid w:val="00056AC3"/>
    <w:rsid w:val="00062E3E"/>
    <w:rsid w:val="00072C4E"/>
    <w:rsid w:val="00073DEF"/>
    <w:rsid w:val="00076396"/>
    <w:rsid w:val="00081FD4"/>
    <w:rsid w:val="00083613"/>
    <w:rsid w:val="000865C0"/>
    <w:rsid w:val="000872F6"/>
    <w:rsid w:val="000875FF"/>
    <w:rsid w:val="0009376D"/>
    <w:rsid w:val="00096064"/>
    <w:rsid w:val="00096B7E"/>
    <w:rsid w:val="000A3D85"/>
    <w:rsid w:val="000B6D50"/>
    <w:rsid w:val="000B722A"/>
    <w:rsid w:val="000C5C04"/>
    <w:rsid w:val="000D08C0"/>
    <w:rsid w:val="000D2DB2"/>
    <w:rsid w:val="000E0D8C"/>
    <w:rsid w:val="000F0A95"/>
    <w:rsid w:val="000F1632"/>
    <w:rsid w:val="00102E70"/>
    <w:rsid w:val="00104EE7"/>
    <w:rsid w:val="0010504B"/>
    <w:rsid w:val="0011760F"/>
    <w:rsid w:val="00125BE3"/>
    <w:rsid w:val="0013354C"/>
    <w:rsid w:val="00136108"/>
    <w:rsid w:val="00141AA2"/>
    <w:rsid w:val="00145027"/>
    <w:rsid w:val="00166753"/>
    <w:rsid w:val="001817F9"/>
    <w:rsid w:val="00183544"/>
    <w:rsid w:val="00190C8C"/>
    <w:rsid w:val="00192BE1"/>
    <w:rsid w:val="001933C7"/>
    <w:rsid w:val="00197773"/>
    <w:rsid w:val="001A0445"/>
    <w:rsid w:val="001A4B66"/>
    <w:rsid w:val="001B2EEE"/>
    <w:rsid w:val="001B4277"/>
    <w:rsid w:val="001C525C"/>
    <w:rsid w:val="001E6D43"/>
    <w:rsid w:val="00202921"/>
    <w:rsid w:val="002053F4"/>
    <w:rsid w:val="00205818"/>
    <w:rsid w:val="00210264"/>
    <w:rsid w:val="002149B7"/>
    <w:rsid w:val="0021583F"/>
    <w:rsid w:val="002208F8"/>
    <w:rsid w:val="00227662"/>
    <w:rsid w:val="00232BF0"/>
    <w:rsid w:val="002332B9"/>
    <w:rsid w:val="00234BB4"/>
    <w:rsid w:val="00247BD5"/>
    <w:rsid w:val="00261513"/>
    <w:rsid w:val="00264665"/>
    <w:rsid w:val="00284D06"/>
    <w:rsid w:val="002878CA"/>
    <w:rsid w:val="00297E22"/>
    <w:rsid w:val="002A1F62"/>
    <w:rsid w:val="002B3AE9"/>
    <w:rsid w:val="002B4BBE"/>
    <w:rsid w:val="002B55A4"/>
    <w:rsid w:val="002C00F3"/>
    <w:rsid w:val="002C7B49"/>
    <w:rsid w:val="002D1031"/>
    <w:rsid w:val="002D2FE1"/>
    <w:rsid w:val="002E2096"/>
    <w:rsid w:val="002E419E"/>
    <w:rsid w:val="002F2FC2"/>
    <w:rsid w:val="002F3A4F"/>
    <w:rsid w:val="003054CE"/>
    <w:rsid w:val="0031157D"/>
    <w:rsid w:val="00313F0C"/>
    <w:rsid w:val="00316895"/>
    <w:rsid w:val="00316BE8"/>
    <w:rsid w:val="00333B5A"/>
    <w:rsid w:val="0034702F"/>
    <w:rsid w:val="003530CE"/>
    <w:rsid w:val="00367C13"/>
    <w:rsid w:val="00373BB1"/>
    <w:rsid w:val="003857FA"/>
    <w:rsid w:val="003B1D4E"/>
    <w:rsid w:val="003B297A"/>
    <w:rsid w:val="003B5F26"/>
    <w:rsid w:val="003C2B9A"/>
    <w:rsid w:val="003C426D"/>
    <w:rsid w:val="003C58E0"/>
    <w:rsid w:val="003D33D4"/>
    <w:rsid w:val="003E6B14"/>
    <w:rsid w:val="003F3488"/>
    <w:rsid w:val="003F6FC5"/>
    <w:rsid w:val="0041223D"/>
    <w:rsid w:val="00434AFC"/>
    <w:rsid w:val="00437374"/>
    <w:rsid w:val="004412D7"/>
    <w:rsid w:val="0044444D"/>
    <w:rsid w:val="00445B8C"/>
    <w:rsid w:val="00456FC4"/>
    <w:rsid w:val="0045786E"/>
    <w:rsid w:val="004703BB"/>
    <w:rsid w:val="00471880"/>
    <w:rsid w:val="00495843"/>
    <w:rsid w:val="004A450E"/>
    <w:rsid w:val="004B4A4E"/>
    <w:rsid w:val="004C1E55"/>
    <w:rsid w:val="004D569B"/>
    <w:rsid w:val="004E0C8C"/>
    <w:rsid w:val="004E224E"/>
    <w:rsid w:val="004E3050"/>
    <w:rsid w:val="004E4660"/>
    <w:rsid w:val="004F63A8"/>
    <w:rsid w:val="004F7020"/>
    <w:rsid w:val="00502CC1"/>
    <w:rsid w:val="00513065"/>
    <w:rsid w:val="00515CA1"/>
    <w:rsid w:val="00520877"/>
    <w:rsid w:val="005224F0"/>
    <w:rsid w:val="00526813"/>
    <w:rsid w:val="005270D5"/>
    <w:rsid w:val="00530A3D"/>
    <w:rsid w:val="00532170"/>
    <w:rsid w:val="00537ABA"/>
    <w:rsid w:val="00542A3E"/>
    <w:rsid w:val="0054431F"/>
    <w:rsid w:val="00545A2D"/>
    <w:rsid w:val="00546CB6"/>
    <w:rsid w:val="0055049F"/>
    <w:rsid w:val="00553AA7"/>
    <w:rsid w:val="0055455A"/>
    <w:rsid w:val="00556BB7"/>
    <w:rsid w:val="0056179F"/>
    <w:rsid w:val="00563395"/>
    <w:rsid w:val="0057095D"/>
    <w:rsid w:val="005728F6"/>
    <w:rsid w:val="00582552"/>
    <w:rsid w:val="00582D24"/>
    <w:rsid w:val="00597E3B"/>
    <w:rsid w:val="005A631A"/>
    <w:rsid w:val="005B5AED"/>
    <w:rsid w:val="005B5C54"/>
    <w:rsid w:val="005B672E"/>
    <w:rsid w:val="005C0239"/>
    <w:rsid w:val="005C12C6"/>
    <w:rsid w:val="005C40DC"/>
    <w:rsid w:val="005C5EB3"/>
    <w:rsid w:val="005D0EE1"/>
    <w:rsid w:val="005D7A18"/>
    <w:rsid w:val="005E1DC3"/>
    <w:rsid w:val="005E60F9"/>
    <w:rsid w:val="00601A59"/>
    <w:rsid w:val="006035D7"/>
    <w:rsid w:val="00604F6D"/>
    <w:rsid w:val="00605A77"/>
    <w:rsid w:val="0061269B"/>
    <w:rsid w:val="006201DA"/>
    <w:rsid w:val="00627CB9"/>
    <w:rsid w:val="00627EFC"/>
    <w:rsid w:val="00634137"/>
    <w:rsid w:val="00643118"/>
    <w:rsid w:val="00660F08"/>
    <w:rsid w:val="0066650F"/>
    <w:rsid w:val="00675CAE"/>
    <w:rsid w:val="00676DB6"/>
    <w:rsid w:val="0068133B"/>
    <w:rsid w:val="00687464"/>
    <w:rsid w:val="00687BB9"/>
    <w:rsid w:val="00695253"/>
    <w:rsid w:val="006B0E9C"/>
    <w:rsid w:val="006B2818"/>
    <w:rsid w:val="006B2927"/>
    <w:rsid w:val="006B63DD"/>
    <w:rsid w:val="006C28EE"/>
    <w:rsid w:val="006C3616"/>
    <w:rsid w:val="006E0A51"/>
    <w:rsid w:val="006E2643"/>
    <w:rsid w:val="006E541B"/>
    <w:rsid w:val="006E7610"/>
    <w:rsid w:val="006F71FC"/>
    <w:rsid w:val="0070643F"/>
    <w:rsid w:val="00716EA2"/>
    <w:rsid w:val="007209AF"/>
    <w:rsid w:val="00720F48"/>
    <w:rsid w:val="00735C22"/>
    <w:rsid w:val="00744E4F"/>
    <w:rsid w:val="00746FAF"/>
    <w:rsid w:val="00747712"/>
    <w:rsid w:val="00751B1B"/>
    <w:rsid w:val="00783576"/>
    <w:rsid w:val="00792528"/>
    <w:rsid w:val="007A161F"/>
    <w:rsid w:val="007A5EFA"/>
    <w:rsid w:val="007C01A6"/>
    <w:rsid w:val="007D0862"/>
    <w:rsid w:val="007D3A47"/>
    <w:rsid w:val="007D548D"/>
    <w:rsid w:val="007E3ECC"/>
    <w:rsid w:val="007F07BD"/>
    <w:rsid w:val="007F2C07"/>
    <w:rsid w:val="00811C44"/>
    <w:rsid w:val="00815DAD"/>
    <w:rsid w:val="008171E4"/>
    <w:rsid w:val="00825E82"/>
    <w:rsid w:val="0083307A"/>
    <w:rsid w:val="00835A2F"/>
    <w:rsid w:val="00837837"/>
    <w:rsid w:val="00840144"/>
    <w:rsid w:val="0084288C"/>
    <w:rsid w:val="008478AD"/>
    <w:rsid w:val="00867047"/>
    <w:rsid w:val="00876DD0"/>
    <w:rsid w:val="00880C1D"/>
    <w:rsid w:val="008863C6"/>
    <w:rsid w:val="00887B95"/>
    <w:rsid w:val="00893420"/>
    <w:rsid w:val="008A2E78"/>
    <w:rsid w:val="008A34E2"/>
    <w:rsid w:val="008C00DE"/>
    <w:rsid w:val="008E4B5C"/>
    <w:rsid w:val="008E5E02"/>
    <w:rsid w:val="008F0022"/>
    <w:rsid w:val="0090281D"/>
    <w:rsid w:val="00903FFD"/>
    <w:rsid w:val="00914B64"/>
    <w:rsid w:val="00920B7C"/>
    <w:rsid w:val="009219A0"/>
    <w:rsid w:val="00922A72"/>
    <w:rsid w:val="009369F7"/>
    <w:rsid w:val="00943DBC"/>
    <w:rsid w:val="00961CB9"/>
    <w:rsid w:val="00963E59"/>
    <w:rsid w:val="00992285"/>
    <w:rsid w:val="009A23F0"/>
    <w:rsid w:val="009B37C1"/>
    <w:rsid w:val="009C3D1A"/>
    <w:rsid w:val="009D0A04"/>
    <w:rsid w:val="009E399C"/>
    <w:rsid w:val="009E4FA8"/>
    <w:rsid w:val="009F039D"/>
    <w:rsid w:val="00A14D79"/>
    <w:rsid w:val="00A16642"/>
    <w:rsid w:val="00A24841"/>
    <w:rsid w:val="00A30579"/>
    <w:rsid w:val="00A30FCC"/>
    <w:rsid w:val="00A5239B"/>
    <w:rsid w:val="00A53187"/>
    <w:rsid w:val="00A54F85"/>
    <w:rsid w:val="00A57D4F"/>
    <w:rsid w:val="00A630EA"/>
    <w:rsid w:val="00A63CEC"/>
    <w:rsid w:val="00A65477"/>
    <w:rsid w:val="00A7061A"/>
    <w:rsid w:val="00A74FED"/>
    <w:rsid w:val="00A80C87"/>
    <w:rsid w:val="00A82E87"/>
    <w:rsid w:val="00A83DD1"/>
    <w:rsid w:val="00A86401"/>
    <w:rsid w:val="00A87877"/>
    <w:rsid w:val="00A87AB5"/>
    <w:rsid w:val="00AA33A6"/>
    <w:rsid w:val="00AA4452"/>
    <w:rsid w:val="00AB1AD2"/>
    <w:rsid w:val="00AC27E4"/>
    <w:rsid w:val="00AC306A"/>
    <w:rsid w:val="00AC3481"/>
    <w:rsid w:val="00AC3697"/>
    <w:rsid w:val="00AC6161"/>
    <w:rsid w:val="00AD71DD"/>
    <w:rsid w:val="00AE0C97"/>
    <w:rsid w:val="00B12708"/>
    <w:rsid w:val="00B13441"/>
    <w:rsid w:val="00B13687"/>
    <w:rsid w:val="00B14D74"/>
    <w:rsid w:val="00B321CC"/>
    <w:rsid w:val="00B32E64"/>
    <w:rsid w:val="00B40AD0"/>
    <w:rsid w:val="00B548A7"/>
    <w:rsid w:val="00B717F0"/>
    <w:rsid w:val="00B7740F"/>
    <w:rsid w:val="00B860EF"/>
    <w:rsid w:val="00BB1FD9"/>
    <w:rsid w:val="00BB2FD0"/>
    <w:rsid w:val="00BB7167"/>
    <w:rsid w:val="00BC4F53"/>
    <w:rsid w:val="00BD49BF"/>
    <w:rsid w:val="00BD5BE3"/>
    <w:rsid w:val="00BE09CA"/>
    <w:rsid w:val="00BE70A8"/>
    <w:rsid w:val="00BF3C6E"/>
    <w:rsid w:val="00BF7419"/>
    <w:rsid w:val="00C01D86"/>
    <w:rsid w:val="00C03B5E"/>
    <w:rsid w:val="00C04BDF"/>
    <w:rsid w:val="00C0658F"/>
    <w:rsid w:val="00C1113C"/>
    <w:rsid w:val="00C21751"/>
    <w:rsid w:val="00C26BD5"/>
    <w:rsid w:val="00C26D1C"/>
    <w:rsid w:val="00C276A8"/>
    <w:rsid w:val="00C277FF"/>
    <w:rsid w:val="00C345B3"/>
    <w:rsid w:val="00C42F42"/>
    <w:rsid w:val="00C466F4"/>
    <w:rsid w:val="00C508A6"/>
    <w:rsid w:val="00C509BB"/>
    <w:rsid w:val="00C51917"/>
    <w:rsid w:val="00C5340E"/>
    <w:rsid w:val="00C724DA"/>
    <w:rsid w:val="00C74A51"/>
    <w:rsid w:val="00C7671D"/>
    <w:rsid w:val="00C802E9"/>
    <w:rsid w:val="00CA00AE"/>
    <w:rsid w:val="00CB7FA8"/>
    <w:rsid w:val="00CC1051"/>
    <w:rsid w:val="00CC4F42"/>
    <w:rsid w:val="00CD78C4"/>
    <w:rsid w:val="00CD7AA2"/>
    <w:rsid w:val="00CE02CA"/>
    <w:rsid w:val="00CE33DA"/>
    <w:rsid w:val="00CF207C"/>
    <w:rsid w:val="00CF3CA0"/>
    <w:rsid w:val="00CF6525"/>
    <w:rsid w:val="00D029AB"/>
    <w:rsid w:val="00D07600"/>
    <w:rsid w:val="00D13C48"/>
    <w:rsid w:val="00D158D7"/>
    <w:rsid w:val="00D20486"/>
    <w:rsid w:val="00D37EE7"/>
    <w:rsid w:val="00D459B1"/>
    <w:rsid w:val="00D47987"/>
    <w:rsid w:val="00D47F73"/>
    <w:rsid w:val="00D55F14"/>
    <w:rsid w:val="00D816B8"/>
    <w:rsid w:val="00D83567"/>
    <w:rsid w:val="00D97A16"/>
    <w:rsid w:val="00D97C2A"/>
    <w:rsid w:val="00DB04BA"/>
    <w:rsid w:val="00DC0AB7"/>
    <w:rsid w:val="00DD35F3"/>
    <w:rsid w:val="00DD6557"/>
    <w:rsid w:val="00DE0B96"/>
    <w:rsid w:val="00DE2DE6"/>
    <w:rsid w:val="00DE3F03"/>
    <w:rsid w:val="00DF0172"/>
    <w:rsid w:val="00DF1AE7"/>
    <w:rsid w:val="00DF5B7B"/>
    <w:rsid w:val="00DF5CB6"/>
    <w:rsid w:val="00E000E9"/>
    <w:rsid w:val="00E258F1"/>
    <w:rsid w:val="00E25D3E"/>
    <w:rsid w:val="00E26743"/>
    <w:rsid w:val="00E2768E"/>
    <w:rsid w:val="00E3461C"/>
    <w:rsid w:val="00E51D7A"/>
    <w:rsid w:val="00E5266E"/>
    <w:rsid w:val="00E53D66"/>
    <w:rsid w:val="00E57ED8"/>
    <w:rsid w:val="00E632EA"/>
    <w:rsid w:val="00E700EB"/>
    <w:rsid w:val="00E706F8"/>
    <w:rsid w:val="00E708B2"/>
    <w:rsid w:val="00E73312"/>
    <w:rsid w:val="00E85414"/>
    <w:rsid w:val="00E8740D"/>
    <w:rsid w:val="00E87D15"/>
    <w:rsid w:val="00E917DE"/>
    <w:rsid w:val="00EB1248"/>
    <w:rsid w:val="00ED273C"/>
    <w:rsid w:val="00ED4036"/>
    <w:rsid w:val="00ED4FBA"/>
    <w:rsid w:val="00ED57CD"/>
    <w:rsid w:val="00EE0303"/>
    <w:rsid w:val="00EE2217"/>
    <w:rsid w:val="00EE4300"/>
    <w:rsid w:val="00EE5B43"/>
    <w:rsid w:val="00EE6128"/>
    <w:rsid w:val="00EF796C"/>
    <w:rsid w:val="00F1025A"/>
    <w:rsid w:val="00F337B9"/>
    <w:rsid w:val="00F57769"/>
    <w:rsid w:val="00F77876"/>
    <w:rsid w:val="00F840CF"/>
    <w:rsid w:val="00F8421E"/>
    <w:rsid w:val="00F875B1"/>
    <w:rsid w:val="00F87B0C"/>
    <w:rsid w:val="00F9531E"/>
    <w:rsid w:val="00FA2881"/>
    <w:rsid w:val="00FB0C9A"/>
    <w:rsid w:val="00FB116C"/>
    <w:rsid w:val="00FC6087"/>
    <w:rsid w:val="00FD24CF"/>
    <w:rsid w:val="00FD470C"/>
    <w:rsid w:val="00FD7903"/>
    <w:rsid w:val="00FF0BCC"/>
    <w:rsid w:val="00FF1A42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E535B0"/>
  <w15:chartTrackingRefBased/>
  <w15:docId w15:val="{4A158225-274A-4CA5-A378-D0359522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2E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8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51B1B"/>
    <w:pPr>
      <w:keepNext/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51B1B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table" w:styleId="TableGrid">
    <w:name w:val="Table Grid"/>
    <w:basedOn w:val="TableNormal"/>
    <w:uiPriority w:val="39"/>
    <w:rsid w:val="0075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51B1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1B1B"/>
  </w:style>
  <w:style w:type="paragraph" w:customStyle="1" w:styleId="Default">
    <w:name w:val="Default"/>
    <w:rsid w:val="00D076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4F6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158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3D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3D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3D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F62"/>
  </w:style>
  <w:style w:type="paragraph" w:styleId="Footer">
    <w:name w:val="footer"/>
    <w:basedOn w:val="Normal"/>
    <w:link w:val="Foot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62"/>
  </w:style>
  <w:style w:type="character" w:styleId="Hyperlink">
    <w:name w:val="Hyperlink"/>
    <w:basedOn w:val="DefaultParagraphFont"/>
    <w:uiPriority w:val="99"/>
    <w:unhideWhenUsed/>
    <w:rsid w:val="004E30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0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0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" TargetMode="External"/><Relationship Id="rId13" Type="http://schemas.openxmlformats.org/officeDocument/2006/relationships/hyperlink" Target="http://www.mfinante.ro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rtal.onrc.ro/" TargetMode="External"/><Relationship Id="rId17" Type="http://schemas.openxmlformats.org/officeDocument/2006/relationships/hyperlink" Target="http://www.mfinante.r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inante.r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inante.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onrc.ro/" TargetMode="External"/><Relationship Id="rId10" Type="http://schemas.openxmlformats.org/officeDocument/2006/relationships/hyperlink" Target="https://portal.onrc.ro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.onrc.ro/" TargetMode="External"/><Relationship Id="rId14" Type="http://schemas.openxmlformats.org/officeDocument/2006/relationships/hyperlink" Target="https://portal.onrc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3989AD-4B38-064B-94A2-2E33420C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Campan</dc:creator>
  <cp:keywords/>
  <dc:description/>
  <cp:lastModifiedBy>Silviu Stoica ADR NE</cp:lastModifiedBy>
  <cp:revision>57</cp:revision>
  <cp:lastPrinted>2022-10-10T10:49:00Z</cp:lastPrinted>
  <dcterms:created xsi:type="dcterms:W3CDTF">2023-02-16T12:52:00Z</dcterms:created>
  <dcterms:modified xsi:type="dcterms:W3CDTF">2023-06-26T07:10:00Z</dcterms:modified>
</cp:coreProperties>
</file>